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F2" w:rsidRDefault="007B12F2" w:rsidP="007B12F2">
      <w:pPr>
        <w:outlineLvl w:val="1"/>
        <w:rPr>
          <w:rFonts w:ascii="Trebuchet MS" w:eastAsia="Times New Roman" w:hAnsi="Trebuchet MS"/>
          <w:b/>
          <w:bCs/>
          <w:color w:val="12386B"/>
          <w:kern w:val="36"/>
          <w:sz w:val="44"/>
          <w:szCs w:val="44"/>
        </w:rPr>
      </w:pPr>
      <w:proofErr w:type="spellStart"/>
      <w:r>
        <w:rPr>
          <w:rFonts w:ascii="Trebuchet MS" w:eastAsia="Times New Roman" w:hAnsi="Trebuchet MS"/>
          <w:b/>
          <w:bCs/>
          <w:color w:val="12386B"/>
          <w:kern w:val="36"/>
          <w:sz w:val="44"/>
          <w:szCs w:val="44"/>
        </w:rPr>
        <w:t>Matematika</w:t>
      </w:r>
      <w:proofErr w:type="spellEnd"/>
      <w:r>
        <w:rPr>
          <w:rFonts w:ascii="Trebuchet MS" w:eastAsia="Times New Roman" w:hAnsi="Trebuchet MS"/>
          <w:b/>
          <w:bCs/>
          <w:color w:val="12386B"/>
          <w:kern w:val="36"/>
          <w:sz w:val="44"/>
          <w:szCs w:val="44"/>
        </w:rPr>
        <w:t xml:space="preserve">: </w:t>
      </w:r>
      <w:proofErr w:type="spellStart"/>
      <w:r>
        <w:rPr>
          <w:rFonts w:ascii="Trebuchet MS" w:eastAsia="Times New Roman" w:hAnsi="Trebuchet MS"/>
          <w:b/>
          <w:bCs/>
          <w:color w:val="12386B"/>
          <w:kern w:val="36"/>
          <w:sz w:val="44"/>
          <w:szCs w:val="44"/>
        </w:rPr>
        <w:t>Vertinimas</w:t>
      </w:r>
      <w:proofErr w:type="spellEnd"/>
    </w:p>
    <w:p w:rsidR="007B12F2" w:rsidRDefault="007B12F2" w:rsidP="007B12F2">
      <w:pPr>
        <w:pStyle w:val="Antrat3"/>
        <w:rPr>
          <w:rFonts w:ascii="Trebuchet MS" w:eastAsia="Times New Roman" w:hAnsi="Trebuchet MS"/>
        </w:rPr>
      </w:pPr>
      <w:proofErr w:type="spellStart"/>
      <w:r>
        <w:rPr>
          <w:rFonts w:ascii="Trebuchet MS" w:eastAsia="Times New Roman" w:hAnsi="Trebuchet MS"/>
        </w:rPr>
        <w:t>Pradinis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ugdymas</w:t>
      </w:r>
      <w:proofErr w:type="spellEnd"/>
      <w:r>
        <w:rPr>
          <w:rFonts w:ascii="Trebuchet MS" w:eastAsia="Times New Roman" w:hAnsi="Trebuchet MS"/>
        </w:rPr>
        <w:br/>
      </w:r>
      <w:proofErr w:type="spellStart"/>
      <w:r>
        <w:rPr>
          <w:rFonts w:ascii="Trebuchet MS" w:eastAsia="Times New Roman" w:hAnsi="Trebuchet MS"/>
        </w:rPr>
        <w:t>Matematika</w:t>
      </w:r>
      <w:proofErr w:type="spellEnd"/>
      <w:r>
        <w:rPr>
          <w:rFonts w:ascii="Trebuchet MS" w:eastAsia="Times New Roman" w:hAnsi="Trebuchet MS"/>
        </w:rPr>
        <w:br/>
        <w:t xml:space="preserve">1-2 </w:t>
      </w:r>
      <w:proofErr w:type="spellStart"/>
      <w:r>
        <w:rPr>
          <w:rFonts w:ascii="Trebuchet MS" w:eastAsia="Times New Roman" w:hAnsi="Trebuchet MS"/>
        </w:rPr>
        <w:t>klasės</w:t>
      </w:r>
      <w:proofErr w:type="spellEnd"/>
    </w:p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</w:rPr>
        <w:t xml:space="preserve">21.6.3. </w:t>
      </w:r>
      <w:proofErr w:type="spellStart"/>
      <w:r>
        <w:rPr>
          <w:rFonts w:ascii="Trebuchet MS" w:eastAsia="Times New Roman" w:hAnsi="Trebuchet MS"/>
          <w:b/>
          <w:bCs/>
        </w:rPr>
        <w:t>Vertinimas</w:t>
      </w:r>
      <w:proofErr w:type="spellEnd"/>
      <w:r>
        <w:rPr>
          <w:rFonts w:ascii="Trebuchet MS" w:eastAsia="Times New Roman" w:hAnsi="Trebuchet MS"/>
          <w:b/>
          <w:bCs/>
        </w:rPr>
        <w:t xml:space="preserve">. 1–2 </w:t>
      </w:r>
      <w:proofErr w:type="spellStart"/>
      <w:r>
        <w:rPr>
          <w:rFonts w:ascii="Trebuchet MS" w:eastAsia="Times New Roman" w:hAnsi="Trebuchet MS"/>
          <w:b/>
          <w:bCs/>
        </w:rPr>
        <w:t>klasės</w:t>
      </w:r>
      <w:proofErr w:type="spellEnd"/>
    </w:p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21.6.3.1. </w:t>
      </w:r>
      <w:proofErr w:type="spellStart"/>
      <w:r>
        <w:rPr>
          <w:rFonts w:ascii="Trebuchet MS" w:eastAsia="Times New Roman" w:hAnsi="Trebuchet MS"/>
        </w:rPr>
        <w:t>Lentelėje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pateiktas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trimis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lygiais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detalizuotas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mokinių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pasiekimų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aprašas</w:t>
      </w:r>
      <w:proofErr w:type="spellEnd"/>
      <w:r>
        <w:rPr>
          <w:rFonts w:ascii="Trebuchet MS" w:eastAsia="Times New Roman" w:hAnsi="Trebuchet MS"/>
        </w:rPr>
        <w:t xml:space="preserve">. </w:t>
      </w:r>
      <w:proofErr w:type="spellStart"/>
      <w:r>
        <w:rPr>
          <w:rFonts w:ascii="Trebuchet MS" w:eastAsia="Times New Roman" w:hAnsi="Trebuchet MS"/>
        </w:rPr>
        <w:t>Mokinių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pasiekimų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lygiai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aprašyti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išskiriant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nuostatas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ir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pagrindines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matematinės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veiklos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gebėjimų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grupes</w:t>
      </w:r>
      <w:proofErr w:type="spellEnd"/>
      <w:r>
        <w:rPr>
          <w:rFonts w:ascii="Trebuchet MS" w:eastAsia="Times New Roman" w:hAnsi="Trebuchet MS"/>
        </w:rPr>
        <w:t xml:space="preserve">: </w:t>
      </w:r>
      <w:proofErr w:type="spellStart"/>
      <w:r>
        <w:rPr>
          <w:rFonts w:ascii="Trebuchet MS" w:eastAsia="Times New Roman" w:hAnsi="Trebuchet MS"/>
        </w:rPr>
        <w:t>matematikos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žinios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ir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standartinių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procedūrų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atlikimas</w:t>
      </w:r>
      <w:proofErr w:type="spellEnd"/>
      <w:r>
        <w:rPr>
          <w:rFonts w:ascii="Trebuchet MS" w:eastAsia="Times New Roman" w:hAnsi="Trebuchet MS"/>
        </w:rPr>
        <w:t xml:space="preserve">; </w:t>
      </w:r>
      <w:proofErr w:type="spellStart"/>
      <w:r>
        <w:rPr>
          <w:rFonts w:ascii="Trebuchet MS" w:eastAsia="Times New Roman" w:hAnsi="Trebuchet MS"/>
        </w:rPr>
        <w:t>matematinis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komunikavimas</w:t>
      </w:r>
      <w:proofErr w:type="spellEnd"/>
      <w:r>
        <w:rPr>
          <w:rFonts w:ascii="Trebuchet MS" w:eastAsia="Times New Roman" w:hAnsi="Trebuchet MS"/>
        </w:rPr>
        <w:t xml:space="preserve">; </w:t>
      </w:r>
      <w:proofErr w:type="spellStart"/>
      <w:r>
        <w:rPr>
          <w:rFonts w:ascii="Trebuchet MS" w:eastAsia="Times New Roman" w:hAnsi="Trebuchet MS"/>
        </w:rPr>
        <w:t>matematinis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mąstymas</w:t>
      </w:r>
      <w:proofErr w:type="spellEnd"/>
      <w:r>
        <w:rPr>
          <w:rFonts w:ascii="Trebuchet MS" w:eastAsia="Times New Roman" w:hAnsi="Trebuchet MS"/>
        </w:rPr>
        <w:t xml:space="preserve">; </w:t>
      </w:r>
      <w:proofErr w:type="spellStart"/>
      <w:r>
        <w:rPr>
          <w:rFonts w:ascii="Trebuchet MS" w:eastAsia="Times New Roman" w:hAnsi="Trebuchet MS"/>
        </w:rPr>
        <w:t>problemų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sprendimas</w:t>
      </w:r>
      <w:proofErr w:type="spellEnd"/>
      <w:r>
        <w:rPr>
          <w:rFonts w:ascii="Trebuchet MS" w:eastAsia="Times New Roman" w:hAnsi="Trebuchet MS"/>
        </w:rPr>
        <w:t xml:space="preserve">. </w:t>
      </w:r>
      <w:proofErr w:type="spellStart"/>
      <w:r>
        <w:rPr>
          <w:rFonts w:ascii="Trebuchet MS" w:eastAsia="Times New Roman" w:hAnsi="Trebuchet MS"/>
        </w:rPr>
        <w:t>Bendrųjų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gebėjimų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vertinimas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leidžia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pažvelgti</w:t>
      </w:r>
      <w:proofErr w:type="spellEnd"/>
      <w:r>
        <w:rPr>
          <w:rFonts w:ascii="Trebuchet MS" w:eastAsia="Times New Roman" w:hAnsi="Trebuchet MS"/>
        </w:rPr>
        <w:t xml:space="preserve"> į </w:t>
      </w:r>
      <w:proofErr w:type="spellStart"/>
      <w:r>
        <w:rPr>
          <w:rFonts w:ascii="Trebuchet MS" w:eastAsia="Times New Roman" w:hAnsi="Trebuchet MS"/>
        </w:rPr>
        <w:t>mokinio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pasiekimus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plačiau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ir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giliau</w:t>
      </w:r>
      <w:proofErr w:type="spellEnd"/>
      <w:r>
        <w:rPr>
          <w:rFonts w:ascii="Trebuchet MS" w:eastAsia="Times New Roman" w:hAnsi="Trebuchet MS"/>
        </w:rPr>
        <w:t xml:space="preserve">, </w:t>
      </w:r>
      <w:proofErr w:type="spellStart"/>
      <w:r>
        <w:rPr>
          <w:rFonts w:ascii="Trebuchet MS" w:eastAsia="Times New Roman" w:hAnsi="Trebuchet MS"/>
        </w:rPr>
        <w:t>atskleisti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</w:rPr>
        <w:t>jo</w:t>
      </w:r>
      <w:proofErr w:type="spellEnd"/>
      <w:proofErr w:type="gram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stiprybes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ir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tobulintinus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gebėjimus</w:t>
      </w:r>
      <w:proofErr w:type="spellEnd"/>
      <w:r>
        <w:rPr>
          <w:rFonts w:ascii="Trebuchet MS" w:eastAsia="Times New Roman" w:hAnsi="Trebuchet MS"/>
        </w:rPr>
        <w:t xml:space="preserve">, </w:t>
      </w:r>
      <w:proofErr w:type="spellStart"/>
      <w:r>
        <w:rPr>
          <w:rFonts w:ascii="Trebuchet MS" w:eastAsia="Times New Roman" w:hAnsi="Trebuchet MS"/>
        </w:rPr>
        <w:t>įžvelgti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mokymosi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sėkmės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ar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nesėkmės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priežastis</w:t>
      </w:r>
      <w:proofErr w:type="spellEnd"/>
      <w:r>
        <w:rPr>
          <w:rFonts w:ascii="Trebuchet MS" w:eastAsia="Times New Roman" w:hAnsi="Trebuchet MS"/>
        </w:rPr>
        <w:t xml:space="preserve">. </w:t>
      </w:r>
      <w:proofErr w:type="spellStart"/>
      <w:proofErr w:type="gramStart"/>
      <w:r>
        <w:rPr>
          <w:rFonts w:ascii="Trebuchet MS" w:eastAsia="Times New Roman" w:hAnsi="Trebuchet MS"/>
        </w:rPr>
        <w:t>Remiantis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nurodytais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mokinių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pasiekimų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lygių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požymiais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galima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spręsti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ir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apie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tarpinius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pasiekimus</w:t>
      </w:r>
      <w:proofErr w:type="spellEnd"/>
      <w:r>
        <w:rPr>
          <w:rFonts w:ascii="Trebuchet MS" w:eastAsia="Times New Roman" w:hAnsi="Trebuchet MS"/>
        </w:rPr>
        <w:t xml:space="preserve">, </w:t>
      </w:r>
      <w:proofErr w:type="spellStart"/>
      <w:r>
        <w:rPr>
          <w:rFonts w:ascii="Trebuchet MS" w:eastAsia="Times New Roman" w:hAnsi="Trebuchet MS"/>
        </w:rPr>
        <w:t>ir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daryti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apibendrinamuosius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vertinimo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aprašus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pusmečio</w:t>
      </w:r>
      <w:proofErr w:type="spellEnd"/>
      <w:r>
        <w:rPr>
          <w:rFonts w:ascii="Trebuchet MS" w:eastAsia="Times New Roman" w:hAnsi="Trebuchet MS"/>
        </w:rPr>
        <w:t xml:space="preserve">, </w:t>
      </w:r>
      <w:proofErr w:type="spellStart"/>
      <w:r>
        <w:rPr>
          <w:rFonts w:ascii="Trebuchet MS" w:eastAsia="Times New Roman" w:hAnsi="Trebuchet MS"/>
        </w:rPr>
        <w:t>metų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pabaigoje</w:t>
      </w:r>
      <w:proofErr w:type="spellEnd"/>
      <w:r>
        <w:rPr>
          <w:rFonts w:ascii="Trebuchet MS" w:eastAsia="Times New Roman" w:hAnsi="Trebuchet MS"/>
        </w:rPr>
        <w:t>.</w:t>
      </w:r>
      <w:proofErr w:type="gram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Jie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padės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mokytojui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spręsti</w:t>
      </w:r>
      <w:proofErr w:type="spellEnd"/>
      <w:r>
        <w:rPr>
          <w:rFonts w:ascii="Trebuchet MS" w:eastAsia="Times New Roman" w:hAnsi="Trebuchet MS"/>
        </w:rPr>
        <w:t xml:space="preserve">, </w:t>
      </w:r>
      <w:proofErr w:type="spellStart"/>
      <w:r>
        <w:rPr>
          <w:rFonts w:ascii="Trebuchet MS" w:eastAsia="Times New Roman" w:hAnsi="Trebuchet MS"/>
        </w:rPr>
        <w:t>kiek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mokinys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jau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yra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pasiekęs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ir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</w:rPr>
        <w:t>ko</w:t>
      </w:r>
      <w:proofErr w:type="spellEnd"/>
      <w:proofErr w:type="gram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jis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dar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turėtų</w:t>
      </w:r>
      <w:proofErr w:type="spellEnd"/>
      <w:r>
        <w:rPr>
          <w:rFonts w:ascii="Trebuchet MS" w:eastAsia="Times New Roman" w:hAnsi="Trebuchet MS"/>
        </w:rPr>
        <w:t xml:space="preserve"> </w:t>
      </w:r>
      <w:proofErr w:type="spellStart"/>
      <w:r>
        <w:rPr>
          <w:rFonts w:ascii="Trebuchet MS" w:eastAsia="Times New Roman" w:hAnsi="Trebuchet MS"/>
        </w:rPr>
        <w:t>siekti</w:t>
      </w:r>
      <w:proofErr w:type="spellEnd"/>
      <w:r>
        <w:rPr>
          <w:rFonts w:ascii="Trebuchet MS" w:eastAsia="Times New Roman" w:hAnsi="Trebuchet MS"/>
        </w:rPr>
        <w:t>.</w:t>
      </w:r>
    </w:p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br w:type="textWrapping" w:clear="all"/>
      </w:r>
    </w:p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</w:rPr>
        <w:t xml:space="preserve">21.6.3.2. </w:t>
      </w:r>
      <w:proofErr w:type="spellStart"/>
      <w:r>
        <w:rPr>
          <w:rFonts w:ascii="Trebuchet MS" w:eastAsia="Times New Roman" w:hAnsi="Trebuchet MS"/>
          <w:b/>
          <w:bCs/>
        </w:rPr>
        <w:t>Mokinių</w:t>
      </w:r>
      <w:proofErr w:type="spellEnd"/>
      <w:r>
        <w:rPr>
          <w:rFonts w:ascii="Trebuchet MS" w:eastAsia="Times New Roman" w:hAnsi="Trebuchet MS"/>
          <w:b/>
          <w:bCs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</w:rPr>
        <w:t>pasiekimų</w:t>
      </w:r>
      <w:proofErr w:type="spellEnd"/>
      <w:r>
        <w:rPr>
          <w:rFonts w:ascii="Trebuchet MS" w:eastAsia="Times New Roman" w:hAnsi="Trebuchet MS"/>
          <w:b/>
          <w:bCs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</w:rPr>
        <w:t>lygių</w:t>
      </w:r>
      <w:proofErr w:type="spellEnd"/>
      <w:r>
        <w:rPr>
          <w:rFonts w:ascii="Trebuchet MS" w:eastAsia="Times New Roman" w:hAnsi="Trebuchet MS"/>
          <w:b/>
          <w:bCs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</w:rPr>
        <w:t>požymiai</w:t>
      </w:r>
      <w:proofErr w:type="spellEnd"/>
      <w:r>
        <w:rPr>
          <w:rFonts w:ascii="Trebuchet MS" w:eastAsia="Times New Roman" w:hAnsi="Trebuchet MS"/>
          <w:b/>
          <w:bCs/>
        </w:rPr>
        <w:t xml:space="preserve">. 1–2 </w:t>
      </w:r>
      <w:proofErr w:type="spellStart"/>
      <w:r>
        <w:rPr>
          <w:rFonts w:ascii="Trebuchet MS" w:eastAsia="Times New Roman" w:hAnsi="Trebuchet MS"/>
          <w:b/>
          <w:bCs/>
        </w:rPr>
        <w:t>klasės</w:t>
      </w:r>
      <w:proofErr w:type="spellEnd"/>
      <w:r>
        <w:rPr>
          <w:rFonts w:ascii="Trebuchet MS" w:eastAsia="Times New Roman" w:hAnsi="Trebuchet MS"/>
        </w:rPr>
        <w:t xml:space="preserve"> </w:t>
      </w:r>
    </w:p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2168"/>
        <w:gridCol w:w="3557"/>
        <w:gridCol w:w="2174"/>
      </w:tblGrid>
      <w:tr w:rsidR="007B12F2" w:rsidTr="007B12F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</w:t>
            </w:r>
          </w:p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Lygiai</w:t>
            </w:r>
            <w:proofErr w:type="spellEnd"/>
            <w:r>
              <w:rPr>
                <w:rFonts w:ascii="Trebuchet MS" w:eastAsia="Times New Roman" w:hAnsi="Trebuchet MS"/>
                <w:b/>
                <w:bCs/>
              </w:rPr>
              <w:t>/</w:t>
            </w:r>
          </w:p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Pasiekimų</w:t>
            </w:r>
            <w:proofErr w:type="spellEnd"/>
          </w:p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sritys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</w:t>
            </w:r>
          </w:p>
          <w:p w:rsidR="007B12F2" w:rsidRDefault="007B12F2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</w:t>
            </w:r>
          </w:p>
          <w:p w:rsidR="007B12F2" w:rsidRDefault="007B12F2">
            <w:pPr>
              <w:jc w:val="center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Patenkinamas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 </w:t>
            </w:r>
          </w:p>
          <w:p w:rsidR="007B12F2" w:rsidRDefault="007B12F2">
            <w:pPr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</w:t>
            </w:r>
          </w:p>
          <w:p w:rsidR="007B12F2" w:rsidRDefault="007B12F2">
            <w:pPr>
              <w:jc w:val="center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Pagrindinis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 </w:t>
            </w:r>
          </w:p>
          <w:p w:rsidR="007B12F2" w:rsidRDefault="007B12F2">
            <w:pPr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 </w:t>
            </w:r>
          </w:p>
          <w:p w:rsidR="007B12F2" w:rsidRDefault="007B12F2">
            <w:pPr>
              <w:jc w:val="center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Aukštesnysis</w:t>
            </w:r>
            <w:proofErr w:type="spellEnd"/>
          </w:p>
        </w:tc>
      </w:tr>
      <w:tr w:rsidR="007B12F2" w:rsidTr="007B12F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Žinios</w:t>
            </w:r>
            <w:proofErr w:type="spellEnd"/>
            <w:r>
              <w:rPr>
                <w:rFonts w:ascii="Trebuchet MS" w:eastAsia="Times New Roman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ir</w:t>
            </w:r>
            <w:proofErr w:type="spellEnd"/>
            <w:r>
              <w:rPr>
                <w:rFonts w:ascii="Trebuchet MS" w:eastAsia="Times New Roman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supratimas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Atkartoja</w:t>
            </w:r>
            <w:proofErr w:type="spellEnd"/>
            <w:r>
              <w:rPr>
                <w:rFonts w:ascii="Trebuchet MS" w:eastAsia="Times New Roman" w:hAnsi="Trebuchet MS"/>
              </w:rPr>
              <w:t xml:space="preserve"> tam </w:t>
            </w:r>
            <w:proofErr w:type="spellStart"/>
            <w:r>
              <w:rPr>
                <w:rFonts w:ascii="Trebuchet MS" w:eastAsia="Times New Roman" w:hAnsi="Trebuchet MS"/>
              </w:rPr>
              <w:t>tikras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žinias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bet </w:t>
            </w:r>
            <w:proofErr w:type="spellStart"/>
            <w:r>
              <w:rPr>
                <w:rFonts w:ascii="Trebuchet MS" w:eastAsia="Times New Roman" w:hAnsi="Trebuchet MS"/>
              </w:rPr>
              <w:t>žinios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supratimas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paviršutiniški</w:t>
            </w:r>
            <w:proofErr w:type="spellEnd"/>
            <w:r>
              <w:rPr>
                <w:rFonts w:ascii="Trebuchet MS" w:eastAsia="Times New Roman" w:hAnsi="Trebuchet MS"/>
              </w:rPr>
              <w:t xml:space="preserve">, ne </w:t>
            </w:r>
            <w:proofErr w:type="spellStart"/>
            <w:r>
              <w:rPr>
                <w:rFonts w:ascii="Trebuchet MS" w:eastAsia="Times New Roman" w:hAnsi="Trebuchet MS"/>
              </w:rPr>
              <w:t>visai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atitinka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mokinių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pasiekimų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aprašus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Atlikdamas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standartines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procedūras</w:t>
            </w:r>
            <w:proofErr w:type="spellEnd"/>
            <w:r>
              <w:rPr>
                <w:rFonts w:ascii="Trebuchet MS" w:eastAsia="Times New Roman" w:hAnsi="Trebuchet MS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</w:rPr>
              <w:t>aritmetinius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veiksmus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matavimus</w:t>
            </w:r>
            <w:proofErr w:type="spellEnd"/>
            <w:r>
              <w:rPr>
                <w:rFonts w:ascii="Trebuchet MS" w:eastAsia="Times New Roman" w:hAnsi="Trebuchet MS"/>
              </w:rPr>
              <w:t xml:space="preserve">), </w:t>
            </w:r>
            <w:proofErr w:type="spellStart"/>
            <w:r>
              <w:rPr>
                <w:rFonts w:ascii="Trebuchet MS" w:eastAsia="Times New Roman" w:hAnsi="Trebuchet MS"/>
              </w:rPr>
              <w:t>dažnai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klysta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Sprendžia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tik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paprasčiausius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įprastomis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sąlygomis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Atgamina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žinias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taiko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jas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naujose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paprasčiausiose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situacijose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žinios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supratimas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atitinka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mokinių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pasiekimų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aprašus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Atlikdamas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standartines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procedūras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nedaro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esminių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klaidų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Gerai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išmokęs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supranta</w:t>
            </w:r>
            <w:proofErr w:type="spellEnd"/>
            <w:r>
              <w:rPr>
                <w:rFonts w:ascii="Trebuchet MS" w:eastAsia="Times New Roman" w:hAnsi="Trebuchet MS"/>
              </w:rPr>
              <w:t xml:space="preserve"> visas </w:t>
            </w:r>
            <w:proofErr w:type="spellStart"/>
            <w:r>
              <w:rPr>
                <w:rFonts w:ascii="Trebuchet MS" w:eastAsia="Times New Roman" w:hAnsi="Trebuchet MS"/>
              </w:rPr>
              <w:t>pagrindines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žinias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tema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susijusias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sąvokas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jas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taiko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naujose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paprastose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situacijose</w:t>
            </w:r>
            <w:proofErr w:type="spellEnd"/>
            <w:r>
              <w:rPr>
                <w:rFonts w:ascii="Trebuchet MS" w:eastAsia="Times New Roman" w:hAnsi="Trebuchet MS"/>
              </w:rPr>
              <w:t xml:space="preserve">, be </w:t>
            </w:r>
            <w:proofErr w:type="spellStart"/>
            <w:r>
              <w:rPr>
                <w:rFonts w:ascii="Trebuchet MS" w:eastAsia="Times New Roman" w:hAnsi="Trebuchet MS"/>
              </w:rPr>
              <w:t>klaidų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atlieka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standartines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procedūras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</w:tr>
      <w:tr w:rsidR="007B12F2" w:rsidTr="007B12F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K</w:t>
            </w:r>
            <w:r>
              <w:rPr>
                <w:rStyle w:val="Grietas"/>
                <w:rFonts w:ascii="Trebuchet MS" w:eastAsia="Times New Roman" w:hAnsi="Trebuchet MS"/>
              </w:rPr>
              <w:t>omunikavimas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Teisingai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supranta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paprasčiausių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uždavinių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pateiktų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įprastame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kontekste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sąlygas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Atsakydamas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į </w:t>
            </w:r>
            <w:proofErr w:type="spellStart"/>
            <w:r>
              <w:rPr>
                <w:rFonts w:ascii="Trebuchet MS" w:eastAsia="Times New Roman" w:hAnsi="Trebuchet MS"/>
              </w:rPr>
              <w:t>klausimus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spręsdamas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paprasčiausius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bando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perteikti</w:t>
            </w:r>
            <w:proofErr w:type="spellEnd"/>
            <w:r>
              <w:rPr>
                <w:rFonts w:ascii="Trebuchet MS" w:eastAsia="Times New Roman" w:hAnsi="Trebuchet MS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</w:rPr>
              <w:t>žodžiais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simboliais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kitaip</w:t>
            </w:r>
            <w:proofErr w:type="spellEnd"/>
            <w:r>
              <w:rPr>
                <w:rFonts w:ascii="Trebuchet MS" w:eastAsia="Times New Roman" w:hAnsi="Trebuchet MS"/>
              </w:rPr>
              <w:t xml:space="preserve">) </w:t>
            </w:r>
            <w:proofErr w:type="spellStart"/>
            <w:r>
              <w:rPr>
                <w:rFonts w:ascii="Trebuchet MS" w:eastAsia="Times New Roman" w:hAnsi="Trebuchet MS"/>
              </w:rPr>
              <w:t>pagrindines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mintis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vartoti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kuriuos</w:t>
            </w:r>
            <w:proofErr w:type="spellEnd"/>
            <w:r>
              <w:rPr>
                <w:rFonts w:ascii="Trebuchet MS" w:eastAsia="Times New Roman" w:hAnsi="Trebuchet MS"/>
              </w:rPr>
              <w:t xml:space="preserve"> terminus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simbolius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tačiau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pagal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pateikimą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ryškėja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kad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nepakankamai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suprantamas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tiek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komunikavimo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tikslas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tiek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matematikos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sąvokos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simboliai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Pateikdamas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sprendimą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nesilaiko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susitarimų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dėl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atsakymo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pateikimo</w:t>
            </w:r>
            <w:proofErr w:type="spellEnd"/>
            <w:r>
              <w:rPr>
                <w:rFonts w:ascii="Trebuchet MS" w:eastAsia="Times New Roman" w:hAnsi="Trebuchet MS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</w:rPr>
              <w:t>pateiktus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sunku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suprasti</w:t>
            </w:r>
            <w:proofErr w:type="spellEnd"/>
            <w:r>
              <w:rPr>
                <w:rFonts w:ascii="Trebuchet MS" w:eastAsia="Times New Roman" w:hAnsi="Trebuchet MS"/>
              </w:rPr>
              <w:t>).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Teisingai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supranta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paprasčiausių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įvairaus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konteksto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praktinio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turinio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sąlygas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Atsakydamas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į </w:t>
            </w:r>
            <w:proofErr w:type="spellStart"/>
            <w:r>
              <w:rPr>
                <w:rFonts w:ascii="Trebuchet MS" w:eastAsia="Times New Roman" w:hAnsi="Trebuchet MS"/>
              </w:rPr>
              <w:t>klausimus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pagrįsdamas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samprotavimus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spręsdamas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paprasčiausius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vartoja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tinkamus</w:t>
            </w:r>
            <w:proofErr w:type="spellEnd"/>
            <w:r>
              <w:rPr>
                <w:rFonts w:ascii="Trebuchet MS" w:eastAsia="Times New Roman" w:hAnsi="Trebuchet MS"/>
              </w:rPr>
              <w:t xml:space="preserve"> terminus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simbolius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Uždavinio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sprendimą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pateikia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laikydamasis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susitarimų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dėl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atsakymo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pateikimo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Trūksta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tikslumo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nuoseklumo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rišlumo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glaustumo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kartojasi</w:t>
            </w:r>
            <w:proofErr w:type="spellEnd"/>
            <w:proofErr w:type="gramStart"/>
            <w:r>
              <w:rPr>
                <w:rFonts w:ascii="Trebuchet MS" w:eastAsia="Times New Roman" w:hAnsi="Trebuchet MS"/>
              </w:rPr>
              <w:t>, ,,</w:t>
            </w:r>
            <w:proofErr w:type="spellStart"/>
            <w:r>
              <w:rPr>
                <w:rFonts w:ascii="Trebuchet MS" w:eastAsia="Times New Roman" w:hAnsi="Trebuchet MS"/>
              </w:rPr>
              <w:t>šokinėja</w:t>
            </w:r>
            <w:proofErr w:type="spellEnd"/>
            <w:proofErr w:type="gramEnd"/>
            <w:r>
              <w:rPr>
                <w:rFonts w:ascii="Trebuchet MS" w:eastAsia="Times New Roman" w:hAnsi="Trebuchet MS"/>
              </w:rPr>
              <w:t xml:space="preserve">“ </w:t>
            </w:r>
            <w:proofErr w:type="spellStart"/>
            <w:r>
              <w:rPr>
                <w:rFonts w:ascii="Trebuchet MS" w:eastAsia="Times New Roman" w:hAnsi="Trebuchet MS"/>
              </w:rPr>
              <w:t>mintys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Teisingai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supranta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įvairiais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būdais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pateiktas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paprastų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sąlygas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sprendžia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įvairaus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konteksto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praktinius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paprastus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Nuosekliai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išsamiai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glaustai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pateikia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sprendimą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sklandžiai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atsako</w:t>
            </w:r>
            <w:proofErr w:type="spellEnd"/>
            <w:r>
              <w:rPr>
                <w:rFonts w:ascii="Trebuchet MS" w:eastAsia="Times New Roman" w:hAnsi="Trebuchet MS"/>
              </w:rPr>
              <w:t xml:space="preserve"> į </w:t>
            </w:r>
            <w:proofErr w:type="spellStart"/>
            <w:r>
              <w:rPr>
                <w:rFonts w:ascii="Trebuchet MS" w:eastAsia="Times New Roman" w:hAnsi="Trebuchet MS"/>
              </w:rPr>
              <w:t>klausimus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pagrindžia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samprotavimus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Tiksliai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tikslingai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vartoja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tinkamus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simbolius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terminus.</w:t>
            </w:r>
          </w:p>
        </w:tc>
      </w:tr>
      <w:tr w:rsidR="007B12F2" w:rsidTr="007B12F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Matematinis</w:t>
            </w:r>
            <w:proofErr w:type="spellEnd"/>
            <w:r>
              <w:rPr>
                <w:rFonts w:ascii="Trebuchet MS" w:eastAsia="Times New Roman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mąstymas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Mokinys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reproduktyviai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mąsto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įprastomis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aplinkybėmis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Dalį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informacijos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supranta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neteisingai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neįžvelgia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ryšių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tarp </w:t>
            </w:r>
            <w:proofErr w:type="spellStart"/>
            <w:r>
              <w:rPr>
                <w:rFonts w:ascii="Trebuchet MS" w:eastAsia="Times New Roman" w:hAnsi="Trebuchet MS"/>
              </w:rPr>
              <w:t>atskirų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objektų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Atpažįsta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nagrinėja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tik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atskiras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tiriamojo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klausimo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detales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jų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nesiedamas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neįžvelgia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dėsningumų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imes New Roman" w:hAnsi="Trebuchet MS"/>
              </w:rPr>
              <w:t>ryšių</w:t>
            </w:r>
            <w:proofErr w:type="spellEnd"/>
            <w:proofErr w:type="gram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Daugeliu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atvejų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produktyviai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mąsto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įprastomis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aplinkybėmis</w:t>
            </w:r>
            <w:proofErr w:type="spellEnd"/>
            <w:r>
              <w:rPr>
                <w:rFonts w:ascii="Trebuchet MS" w:eastAsia="Times New Roman" w:hAnsi="Trebuchet MS"/>
              </w:rPr>
              <w:t xml:space="preserve">. Taiko </w:t>
            </w:r>
            <w:proofErr w:type="spellStart"/>
            <w:r>
              <w:rPr>
                <w:rFonts w:ascii="Trebuchet MS" w:eastAsia="Times New Roman" w:hAnsi="Trebuchet MS"/>
              </w:rPr>
              <w:t>ryšius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iš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esmės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naudoja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analizę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sintezę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tačiau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objektai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reiškiniai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nagrinėjami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pagal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visus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būdingus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bruožus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nustato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tik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pagrindinius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jų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sąryšius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dėsningumus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Mokytojo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padedamas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bando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daryti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teisingu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pagrįstas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išvadas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Mokinys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daugeliu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atvejų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parodo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kūrybiniam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mąstymui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būdingus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elementus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neįprastomis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aplinkybėmis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Apžvelgia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būdingus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objektų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bei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reiškinių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bruožus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nustato</w:t>
            </w:r>
            <w:proofErr w:type="spellEnd"/>
            <w:r>
              <w:rPr>
                <w:rFonts w:ascii="Trebuchet MS" w:eastAsia="Times New Roman" w:hAnsi="Trebuchet MS"/>
              </w:rPr>
              <w:t xml:space="preserve"> ne </w:t>
            </w:r>
            <w:proofErr w:type="spellStart"/>
            <w:r>
              <w:rPr>
                <w:rFonts w:ascii="Trebuchet MS" w:eastAsia="Times New Roman" w:hAnsi="Trebuchet MS"/>
              </w:rPr>
              <w:t>tik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pagrindinius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bet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smulkesnius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jų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sąryšius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dėsningumus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Rodo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savarankiškumą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minčių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originalumą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Daro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galutines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tikslias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logines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teisingu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pagrįstas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išvadas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</w:tr>
      <w:tr w:rsidR="007B12F2" w:rsidTr="007B12F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Problemų</w:t>
            </w:r>
            <w:proofErr w:type="spellEnd"/>
            <w:r>
              <w:rPr>
                <w:rFonts w:ascii="Trebuchet MS" w:eastAsia="Times New Roman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sprendimas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Atpažindamas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jau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žinomą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kontekstą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sprendžia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paprasčiausias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</w:rPr>
              <w:t>elementarias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supaprastintas</w:t>
            </w:r>
            <w:proofErr w:type="spellEnd"/>
            <w:r>
              <w:rPr>
                <w:rFonts w:ascii="Trebuchet MS" w:eastAsia="Times New Roman" w:hAnsi="Trebuchet MS"/>
              </w:rPr>
              <w:t xml:space="preserve">) </w:t>
            </w:r>
            <w:proofErr w:type="spellStart"/>
            <w:r>
              <w:rPr>
                <w:rFonts w:ascii="Trebuchet MS" w:eastAsia="Times New Roman" w:hAnsi="Trebuchet MS"/>
              </w:rPr>
              <w:t>problemas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atlieka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standartines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procedūras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analogiškose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situacijose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Pateikia</w:t>
            </w:r>
            <w:proofErr w:type="spellEnd"/>
            <w:r>
              <w:rPr>
                <w:rFonts w:ascii="Trebuchet MS" w:eastAsia="Times New Roman" w:hAnsi="Trebuchet MS"/>
              </w:rPr>
              <w:t xml:space="preserve"> tam </w:t>
            </w:r>
            <w:proofErr w:type="spellStart"/>
            <w:r>
              <w:rPr>
                <w:rFonts w:ascii="Trebuchet MS" w:eastAsia="Times New Roman" w:hAnsi="Trebuchet MS"/>
              </w:rPr>
              <w:t>tikrus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rezultatus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samprotavimais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paremtas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išvadas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tačiau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dėl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sprendime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pasitaikiusių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klaidų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gautas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rezultatas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daromos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išvados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yra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klaidingos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Gauto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atsakymo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išvados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neargumentuoja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neinterpretuoja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pradinės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sąlygos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kontekste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Pasirenka</w:t>
            </w:r>
            <w:proofErr w:type="spellEnd"/>
            <w:r>
              <w:rPr>
                <w:rFonts w:ascii="Trebuchet MS" w:eastAsia="Times New Roman" w:hAnsi="Trebuchet MS"/>
              </w:rPr>
              <w:t xml:space="preserve"> ne </w:t>
            </w:r>
            <w:proofErr w:type="spellStart"/>
            <w:r>
              <w:rPr>
                <w:rFonts w:ascii="Trebuchet MS" w:eastAsia="Times New Roman" w:hAnsi="Trebuchet MS"/>
              </w:rPr>
              <w:t>visai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racionalias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problemų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strategijas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Teisingai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sprendžia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problemą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paaiškina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sprendimą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gautus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rezultatus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tačiau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gauto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atsakymo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išvados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neinterpretuoja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pradinės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sąlygos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kontekste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Problema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lyg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išspręsta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tačiau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nepateikiamas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galutinis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atsakymas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nepadaroma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galutinė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išvada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Pasirenka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tinkamas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racionalias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problemų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strategijas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paaiškina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uždavinio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sprendimą</w:t>
            </w:r>
            <w:proofErr w:type="spellEnd"/>
            <w:r>
              <w:rPr>
                <w:rFonts w:ascii="Trebuchet MS" w:eastAsia="Times New Roman" w:hAnsi="Trebuchet MS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/>
              </w:rPr>
              <w:t>Daro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išsamias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tikslias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išvadas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paremtas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teisingu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problemos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sprendimu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randa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teisingą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atsakymą</w:t>
            </w:r>
            <w:proofErr w:type="spellEnd"/>
            <w:r>
              <w:rPr>
                <w:rFonts w:ascii="Trebuchet MS" w:eastAsia="Times New Roman" w:hAnsi="Trebuchet MS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/>
              </w:rPr>
              <w:t>sprendinį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rezultatą</w:t>
            </w:r>
            <w:proofErr w:type="spellEnd"/>
            <w:r>
              <w:rPr>
                <w:rFonts w:ascii="Trebuchet MS" w:eastAsia="Times New Roman" w:hAnsi="Trebuchet MS"/>
              </w:rPr>
              <w:t xml:space="preserve">)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interpretuoja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jį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pradinės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sąlygos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kontekste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bookmarkStart w:id="0" w:name="_GoBack"/>
        <w:bookmarkEnd w:id="0"/>
      </w:tr>
      <w:tr w:rsidR="007B12F2" w:rsidTr="007B12F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</w:rPr>
              <w:t>Nuostatos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Daugeliu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atveju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atlieka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kas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pavesta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tačiau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būdingas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menkas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pasitikėjimas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savo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jėgomis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ribotas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domėjimasis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matematika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Supranta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matematikos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mokymosi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svarbą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jaučia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atsakomybę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mokymosi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rezultatus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stengiasi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aktyviai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dalyvauja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mokymosi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procese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Teigiamai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vertina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savo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kitų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daromą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pažangą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vertina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įgyjamas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matematikos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žinias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gebėjimus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Domisi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matematika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aktyviai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dalyvauja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mokymosi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procese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pasitiki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savo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jėgomis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mokydamasis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matematikos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siūlo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originalias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idėjas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jų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įgyvendinimo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būdus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  <w:p w:rsidR="007B12F2" w:rsidRDefault="007B12F2">
            <w:pPr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Jaučia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atsakomybę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už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savo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kitų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daromą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pažangą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noriai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padeda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kitiems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mokytis</w:t>
            </w:r>
            <w:proofErr w:type="spellEnd"/>
            <w:r>
              <w:rPr>
                <w:rFonts w:ascii="Trebuchet MS" w:eastAsia="Times New Roman" w:hAnsi="Trebuchet MS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/>
              </w:rPr>
              <w:t>vertina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įgyjamas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matematikos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žinias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ir</w:t>
            </w:r>
            <w:proofErr w:type="spellEnd"/>
            <w:r>
              <w:rPr>
                <w:rFonts w:ascii="Trebuchet MS" w:eastAsia="Times New Roman" w:hAnsi="Trebuchet M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</w:rPr>
              <w:t>gebėjimus</w:t>
            </w:r>
            <w:proofErr w:type="spellEnd"/>
            <w:r>
              <w:rPr>
                <w:rFonts w:ascii="Trebuchet MS" w:eastAsia="Times New Roman" w:hAnsi="Trebuchet MS"/>
              </w:rPr>
              <w:t>.</w:t>
            </w:r>
          </w:p>
        </w:tc>
      </w:tr>
    </w:tbl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p w:rsidR="007B12F2" w:rsidRDefault="007B12F2" w:rsidP="007B12F2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p w:rsidR="00A06412" w:rsidRDefault="00A06412"/>
    <w:sectPr w:rsidR="00A064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2"/>
    <w:rsid w:val="007B12F2"/>
    <w:rsid w:val="00A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12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7B12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B12F2"/>
    <w:rPr>
      <w:rFonts w:ascii="Times New Roman" w:eastAsiaTheme="minorEastAsia" w:hAnsi="Times New Roman" w:cs="Times New Roman"/>
      <w:b/>
      <w:bCs/>
      <w:sz w:val="27"/>
      <w:szCs w:val="27"/>
      <w:lang w:val="en-US" w:eastAsia="ja-JP"/>
    </w:rPr>
  </w:style>
  <w:style w:type="character" w:styleId="Grietas">
    <w:name w:val="Strong"/>
    <w:basedOn w:val="Numatytasispastraiposriftas"/>
    <w:uiPriority w:val="22"/>
    <w:qFormat/>
    <w:rsid w:val="007B1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12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7B12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B12F2"/>
    <w:rPr>
      <w:rFonts w:ascii="Times New Roman" w:eastAsiaTheme="minorEastAsia" w:hAnsi="Times New Roman" w:cs="Times New Roman"/>
      <w:b/>
      <w:bCs/>
      <w:sz w:val="27"/>
      <w:szCs w:val="27"/>
      <w:lang w:val="en-US" w:eastAsia="ja-JP"/>
    </w:rPr>
  </w:style>
  <w:style w:type="character" w:styleId="Grietas">
    <w:name w:val="Strong"/>
    <w:basedOn w:val="Numatytasispastraiposriftas"/>
    <w:uiPriority w:val="22"/>
    <w:qFormat/>
    <w:rsid w:val="007B1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3538</Words>
  <Characters>2018</Characters>
  <Application>Microsoft Office Word</Application>
  <DocSecurity>0</DocSecurity>
  <Lines>16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2016-09-18T12:28:00Z</dcterms:created>
  <dcterms:modified xsi:type="dcterms:W3CDTF">2016-09-18T12:29:00Z</dcterms:modified>
</cp:coreProperties>
</file>